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39" w:line="596" w:lineRule="exact"/>
        <w:outlineLvl w:val="0"/>
        <w:rPr>
          <w:rFonts w:hint="eastAsia" w:ascii="仿宋_GB2312" w:hAnsi="仿宋_GB2312" w:eastAsia="仿宋_GB2312" w:cs="仿宋_GB2312"/>
          <w:b/>
          <w:bCs/>
          <w:spacing w:val="2"/>
          <w:position w:val="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2"/>
          <w:position w:val="2"/>
          <w:sz w:val="28"/>
          <w:szCs w:val="28"/>
          <w:lang w:val="en-US" w:eastAsia="zh-CN"/>
        </w:rPr>
        <w:t>附件</w:t>
      </w:r>
    </w:p>
    <w:p>
      <w:pPr>
        <w:spacing w:before="139" w:line="596" w:lineRule="exact"/>
        <w:ind w:left="1776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2"/>
          <w:position w:val="2"/>
          <w:sz w:val="44"/>
          <w:szCs w:val="44"/>
          <w:lang w:val="en-US" w:eastAsia="zh-CN"/>
        </w:rPr>
        <w:t>山东现学院安全教育优质课评选标准</w:t>
      </w:r>
      <w:bookmarkEnd w:id="0"/>
    </w:p>
    <w:p>
      <w:pPr>
        <w:spacing w:line="305" w:lineRule="auto"/>
        <w:rPr>
          <w:rFonts w:ascii="Arial"/>
          <w:sz w:val="21"/>
        </w:rPr>
      </w:pPr>
    </w:p>
    <w:p>
      <w:pPr>
        <w:spacing w:before="101" w:line="345" w:lineRule="auto"/>
        <w:ind w:left="198" w:right="86" w:firstLine="636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优质课满分</w:t>
      </w:r>
      <w:r>
        <w:rPr>
          <w:rFonts w:hint="eastAsia" w:ascii="仿宋_GB2312" w:hAnsi="仿宋_GB2312" w:eastAsia="仿宋_GB2312" w:cs="仿宋_GB2312"/>
          <w:spacing w:val="-41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100</w:t>
      </w:r>
      <w:r>
        <w:rPr>
          <w:rFonts w:hint="eastAsia" w:ascii="仿宋_GB2312" w:hAnsi="仿宋_GB2312" w:eastAsia="仿宋_GB2312" w:cs="仿宋_GB2312"/>
          <w:spacing w:val="-60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分，评委按照选题、内容、设计、形式、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</w:rPr>
        <w:t>技术制作等方面进行评选，评分后取平均值为作品最终得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分，具体标准如下：</w:t>
      </w:r>
    </w:p>
    <w:p>
      <w:pPr>
        <w:spacing w:line="170" w:lineRule="exact"/>
      </w:pPr>
    </w:p>
    <w:tbl>
      <w:tblPr>
        <w:tblStyle w:val="8"/>
        <w:tblW w:w="8865" w:type="dxa"/>
        <w:tblInd w:w="52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35"/>
        <w:gridCol w:w="753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1335" w:type="dxa"/>
            <w:vAlign w:val="top"/>
          </w:tcPr>
          <w:p>
            <w:pPr>
              <w:spacing w:before="182" w:line="222" w:lineRule="auto"/>
              <w:ind w:left="341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3"/>
                <w:sz w:val="32"/>
                <w:szCs w:val="32"/>
              </w:rPr>
              <w:t>项目</w:t>
            </w:r>
          </w:p>
        </w:tc>
        <w:tc>
          <w:tcPr>
            <w:tcW w:w="7530" w:type="dxa"/>
            <w:vAlign w:val="top"/>
          </w:tcPr>
          <w:p>
            <w:pPr>
              <w:tabs>
                <w:tab w:val="left" w:pos="2713"/>
              </w:tabs>
              <w:spacing w:before="182" w:line="222" w:lineRule="auto"/>
              <w:ind w:left="2794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3"/>
                <w:sz w:val="32"/>
                <w:szCs w:val="32"/>
                <w:lang w:eastAsia="zh-CN"/>
              </w:rPr>
              <w:tab/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-3"/>
                <w:sz w:val="32"/>
                <w:szCs w:val="32"/>
                <w:lang w:val="en-US" w:eastAsia="zh-CN"/>
              </w:rPr>
              <w:t>评选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-3"/>
                <w:sz w:val="32"/>
                <w:szCs w:val="32"/>
              </w:rPr>
              <w:t>标准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335" w:type="dxa"/>
            <w:vAlign w:val="top"/>
          </w:tcPr>
          <w:p>
            <w:pPr>
              <w:pStyle w:val="9"/>
              <w:spacing w:before="78" w:line="217" w:lineRule="auto"/>
              <w:ind w:firstLine="252" w:firstLineChars="100"/>
              <w:jc w:val="both"/>
              <w:rPr>
                <w:rFonts w:hint="eastAsia" w:ascii="仿宋_GB2312" w:hAnsi="仿宋_GB2312" w:eastAsia="仿宋_GB2312" w:cs="仿宋_GB2312"/>
                <w:spacing w:val="-14"/>
                <w:sz w:val="28"/>
                <w:szCs w:val="28"/>
              </w:rPr>
            </w:pPr>
          </w:p>
          <w:p>
            <w:pPr>
              <w:pStyle w:val="9"/>
              <w:spacing w:before="78" w:line="217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4"/>
                <w:sz w:val="28"/>
                <w:szCs w:val="28"/>
              </w:rPr>
              <w:t>目标明确</w:t>
            </w:r>
          </w:p>
        </w:tc>
        <w:tc>
          <w:tcPr>
            <w:tcW w:w="7530" w:type="dxa"/>
            <w:vAlign w:val="top"/>
          </w:tcPr>
          <w:p>
            <w:pPr>
              <w:pStyle w:val="9"/>
              <w:spacing w:before="118" w:line="307" w:lineRule="auto"/>
              <w:ind w:right="104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</w:rPr>
              <w:t>使学生能够深入理解和准确把握总体国家安全观，牢固树立</w:t>
            </w:r>
            <w:r>
              <w:rPr>
                <w:rFonts w:hint="eastAsia" w:ascii="仿宋_GB2312" w:hAnsi="仿宋_GB2312" w:eastAsia="仿宋_GB2312" w:cs="仿宋_GB2312"/>
                <w:spacing w:val="2"/>
                <w:sz w:val="28"/>
                <w:szCs w:val="28"/>
              </w:rPr>
              <w:t>国家利益至上的观念，增强自觉维护国家安全意识，具备维</w:t>
            </w:r>
            <w:r>
              <w:rPr>
                <w:rFonts w:hint="eastAsia" w:ascii="仿宋_GB2312" w:hAnsi="仿宋_GB2312" w:eastAsia="仿宋_GB2312" w:cs="仿宋_GB2312"/>
                <w:spacing w:val="-3"/>
                <w:sz w:val="28"/>
                <w:szCs w:val="28"/>
              </w:rPr>
              <w:t>护国家安全的能力。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1335" w:type="dxa"/>
            <w:vAlign w:val="top"/>
          </w:tcPr>
          <w:p>
            <w:pPr>
              <w:pStyle w:val="9"/>
              <w:spacing w:before="78" w:line="217" w:lineRule="auto"/>
              <w:jc w:val="both"/>
              <w:rPr>
                <w:rFonts w:hint="eastAsia" w:ascii="仿宋_GB2312" w:hAnsi="仿宋_GB2312" w:eastAsia="仿宋_GB2312" w:cs="仿宋_GB2312"/>
                <w:spacing w:val="-3"/>
                <w:sz w:val="28"/>
                <w:szCs w:val="28"/>
              </w:rPr>
            </w:pPr>
          </w:p>
          <w:p>
            <w:pPr>
              <w:pStyle w:val="9"/>
              <w:spacing w:before="78" w:line="217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8"/>
                <w:szCs w:val="28"/>
              </w:rPr>
              <w:t>设计合理</w:t>
            </w:r>
          </w:p>
        </w:tc>
        <w:tc>
          <w:tcPr>
            <w:tcW w:w="7530" w:type="dxa"/>
            <w:vAlign w:val="top"/>
          </w:tcPr>
          <w:p>
            <w:pPr>
              <w:pStyle w:val="9"/>
              <w:spacing w:before="117" w:line="308" w:lineRule="auto"/>
              <w:ind w:right="101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</w:rPr>
              <w:t>课程思路清晰，组织与编排符合认知规律；生动鲜活、易于接受，增强育人实效；能突出知识有效性和易读性的</w:t>
            </w:r>
            <w:r>
              <w:rPr>
                <w:rFonts w:hint="eastAsia" w:ascii="仿宋_GB2312" w:hAnsi="仿宋_GB2312" w:eastAsia="仿宋_GB2312" w:cs="仿宋_GB2312"/>
                <w:spacing w:val="2"/>
                <w:sz w:val="28"/>
                <w:szCs w:val="28"/>
              </w:rPr>
              <w:t>有机结</w:t>
            </w:r>
            <w:r>
              <w:rPr>
                <w:rFonts w:hint="eastAsia" w:ascii="仿宋_GB2312" w:hAnsi="仿宋_GB2312" w:eastAsia="仿宋_GB2312" w:cs="仿宋_GB2312"/>
                <w:spacing w:val="-7"/>
                <w:sz w:val="28"/>
                <w:szCs w:val="28"/>
              </w:rPr>
              <w:t>合。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</w:trPr>
        <w:tc>
          <w:tcPr>
            <w:tcW w:w="1335" w:type="dxa"/>
            <w:vAlign w:val="top"/>
          </w:tcPr>
          <w:p>
            <w:pPr>
              <w:pStyle w:val="9"/>
              <w:spacing w:before="78" w:line="216" w:lineRule="auto"/>
              <w:jc w:val="both"/>
              <w:rPr>
                <w:rFonts w:hint="eastAsia" w:ascii="仿宋_GB2312" w:hAnsi="仿宋_GB2312" w:eastAsia="仿宋_GB2312" w:cs="仿宋_GB2312"/>
                <w:spacing w:val="-1"/>
                <w:sz w:val="28"/>
                <w:szCs w:val="28"/>
              </w:rPr>
            </w:pPr>
          </w:p>
          <w:p>
            <w:pPr>
              <w:pStyle w:val="9"/>
              <w:spacing w:before="78" w:line="216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8"/>
                <w:szCs w:val="28"/>
              </w:rPr>
              <w:t>形式新颖</w:t>
            </w:r>
          </w:p>
        </w:tc>
        <w:tc>
          <w:tcPr>
            <w:tcW w:w="7530" w:type="dxa"/>
            <w:vAlign w:val="top"/>
          </w:tcPr>
          <w:p>
            <w:pPr>
              <w:pStyle w:val="9"/>
              <w:spacing w:before="116" w:line="277" w:lineRule="auto"/>
              <w:ind w:right="33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8"/>
                <w:szCs w:val="28"/>
              </w:rPr>
              <w:t>构思新颖，富有创意，录制方法与工具可以自由组合，如用</w:t>
            </w:r>
            <w:r>
              <w:rPr>
                <w:rFonts w:hint="eastAsia" w:ascii="仿宋_GB2312" w:hAnsi="仿宋_GB2312" w:eastAsia="仿宋_GB2312" w:cs="仿宋_GB2312"/>
                <w:spacing w:val="-8"/>
                <w:sz w:val="28"/>
                <w:szCs w:val="28"/>
              </w:rPr>
              <w:t>手写板、电子白板、黑板、动画、PPT、录屏工具软件、手机、</w:t>
            </w:r>
            <w:r>
              <w:rPr>
                <w:rFonts w:hint="eastAsia" w:ascii="仿宋_GB2312" w:hAnsi="仿宋_GB2312" w:eastAsia="仿宋_GB2312" w:cs="仿宋_GB2312"/>
                <w:spacing w:val="-2"/>
                <w:sz w:val="28"/>
                <w:szCs w:val="28"/>
              </w:rPr>
              <w:t>专业相机录制等制作。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1335" w:type="dxa"/>
            <w:vAlign w:val="top"/>
          </w:tcPr>
          <w:p>
            <w:pPr>
              <w:pStyle w:val="9"/>
              <w:spacing w:before="78" w:line="215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8"/>
                <w:szCs w:val="28"/>
              </w:rPr>
              <w:t>语言清晰</w:t>
            </w:r>
          </w:p>
        </w:tc>
        <w:tc>
          <w:tcPr>
            <w:tcW w:w="7530" w:type="dxa"/>
            <w:vAlign w:val="top"/>
          </w:tcPr>
          <w:p>
            <w:pPr>
              <w:pStyle w:val="9"/>
              <w:spacing w:before="119" w:line="262" w:lineRule="auto"/>
              <w:ind w:right="19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8"/>
                <w:szCs w:val="28"/>
              </w:rPr>
              <w:t>教学语言规范清晰，使用普通话，声音洪亮、有节奏感，富</w:t>
            </w:r>
            <w:r>
              <w:rPr>
                <w:rFonts w:hint="eastAsia" w:ascii="仿宋_GB2312" w:hAnsi="仿宋_GB2312" w:eastAsia="仿宋_GB2312" w:cs="仿宋_GB2312"/>
                <w:spacing w:val="-4"/>
                <w:sz w:val="28"/>
                <w:szCs w:val="28"/>
              </w:rPr>
              <w:t>有感染力。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1335" w:type="dxa"/>
            <w:vAlign w:val="top"/>
          </w:tcPr>
          <w:p>
            <w:pPr>
              <w:pStyle w:val="9"/>
              <w:spacing w:before="78" w:line="218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8"/>
                <w:szCs w:val="28"/>
              </w:rPr>
              <w:t>表达形象</w:t>
            </w:r>
          </w:p>
        </w:tc>
        <w:tc>
          <w:tcPr>
            <w:tcW w:w="7530" w:type="dxa"/>
            <w:vAlign w:val="top"/>
          </w:tcPr>
          <w:p>
            <w:pPr>
              <w:pStyle w:val="9"/>
              <w:spacing w:before="119" w:line="261" w:lineRule="auto"/>
              <w:ind w:right="19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8"/>
                <w:szCs w:val="28"/>
              </w:rPr>
              <w:t>教学过程主线清晰，深入浅出，形象生动，逻辑性和启发引</w:t>
            </w: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</w:rPr>
              <w:t>导性强。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1" w:hRule="atLeast"/>
        </w:trPr>
        <w:tc>
          <w:tcPr>
            <w:tcW w:w="1335" w:type="dxa"/>
            <w:vAlign w:val="top"/>
          </w:tcPr>
          <w:p>
            <w:pPr>
              <w:spacing w:line="286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pacing w:line="287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pacing w:line="287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9"/>
              <w:spacing w:before="78" w:line="217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8"/>
                <w:szCs w:val="28"/>
              </w:rPr>
              <w:t>技术规范</w:t>
            </w:r>
          </w:p>
        </w:tc>
        <w:tc>
          <w:tcPr>
            <w:tcW w:w="7530" w:type="dxa"/>
            <w:vAlign w:val="top"/>
          </w:tcPr>
          <w:p>
            <w:pPr>
              <w:pStyle w:val="9"/>
              <w:spacing w:line="216" w:lineRule="auto"/>
              <w:ind w:left="122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8"/>
                <w:szCs w:val="28"/>
              </w:rPr>
              <w:t>1.时长10—45分钟，微课录制、课堂实录皆可。微课录制不</w:t>
            </w:r>
            <w:r>
              <w:rPr>
                <w:rFonts w:hint="eastAsia" w:ascii="仿宋_GB2312" w:hAnsi="仿宋_GB2312" w:eastAsia="仿宋_GB2312" w:cs="仿宋_GB2312"/>
                <w:spacing w:val="-5"/>
                <w:sz w:val="28"/>
                <w:szCs w:val="28"/>
              </w:rPr>
              <w:t>得超过15分钟；课堂实录：</w:t>
            </w:r>
            <w:r>
              <w:rPr>
                <w:rFonts w:hint="eastAsia" w:ascii="仿宋_GB2312" w:hAnsi="仿宋_GB2312" w:eastAsia="仿宋_GB2312" w:cs="仿宋_GB2312"/>
                <w:spacing w:val="-3"/>
                <w:sz w:val="28"/>
                <w:szCs w:val="28"/>
              </w:rPr>
              <w:t>40—45分钟</w:t>
            </w:r>
          </w:p>
          <w:p>
            <w:pPr>
              <w:pStyle w:val="9"/>
              <w:spacing w:before="118" w:line="262" w:lineRule="auto"/>
              <w:ind w:left="129" w:right="130" w:hanging="8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8"/>
                <w:szCs w:val="28"/>
              </w:rPr>
              <w:t>2.视频图像清晰稳定、以MOV、AVI、MP</w:t>
            </w:r>
            <w:r>
              <w:rPr>
                <w:rFonts w:hint="eastAsia" w:ascii="仿宋_GB2312" w:hAnsi="仿宋_GB2312" w:eastAsia="仿宋_GB2312" w:cs="仿宋_GB2312"/>
                <w:spacing w:val="-2"/>
                <w:sz w:val="28"/>
                <w:szCs w:val="28"/>
              </w:rPr>
              <w:t>4等主流高清通用格式为主，分辨率不得低于1280×720（16:9）。</w:t>
            </w:r>
          </w:p>
          <w:p>
            <w:pPr>
              <w:pStyle w:val="9"/>
              <w:spacing w:before="118" w:line="401" w:lineRule="exact"/>
              <w:ind w:left="13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position w:val="12"/>
                <w:sz w:val="28"/>
                <w:szCs w:val="28"/>
              </w:rPr>
              <w:t>3.视频画面构图合理、画面无水印、声音清楚，主要</w:t>
            </w:r>
            <w:r>
              <w:rPr>
                <w:rFonts w:hint="eastAsia" w:ascii="仿宋_GB2312" w:hAnsi="仿宋_GB2312" w:eastAsia="仿宋_GB2312" w:cs="仿宋_GB2312"/>
                <w:spacing w:val="-2"/>
                <w:position w:val="12"/>
                <w:sz w:val="28"/>
                <w:szCs w:val="28"/>
              </w:rPr>
              <w:t>教学环</w:t>
            </w:r>
          </w:p>
          <w:p>
            <w:pPr>
              <w:pStyle w:val="9"/>
              <w:spacing w:before="1" w:line="215" w:lineRule="auto"/>
              <w:ind w:left="119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8"/>
                <w:szCs w:val="28"/>
              </w:rPr>
              <w:t>节有字幕提示等。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jc w:val="both"/>
        <w:textAlignment w:val="baseline"/>
        <w:rPr>
          <w:rFonts w:hint="default" w:ascii="仿宋_GB2312" w:hAnsi="仿宋_GB2312" w:eastAsia="仿宋_GB2312" w:cs="仿宋_GB2312"/>
          <w:snapToGrid w:val="0"/>
          <w:color w:val="000000"/>
          <w:kern w:val="0"/>
          <w:sz w:val="32"/>
          <w:szCs w:val="32"/>
          <w:lang w:val="en-US" w:eastAsia="zh-CN" w:bidi="ar"/>
        </w:rPr>
      </w:pPr>
    </w:p>
    <w:sectPr>
      <w:headerReference r:id="rId5" w:type="default"/>
      <w:footerReference r:id="rId6" w:type="default"/>
      <w:pgSz w:w="11906" w:h="16839"/>
      <w:pgMar w:top="1134" w:right="1020" w:bottom="1417" w:left="1020" w:header="0" w:footer="1134" w:gutter="0"/>
      <w:pgNumType w:fmt="decimal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1" w:lineRule="auto"/>
      <w:ind w:left="6315"/>
      <w:rPr>
        <w:rFonts w:ascii="Times New Roman" w:hAnsi="Times New Roman" w:eastAsia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MTg3MDc2Y2RkNmNkMTQzNjIyMDY5ZmJkYzM5MThiN2IifQ=="/>
  </w:docVars>
  <w:rsids>
    <w:rsidRoot w:val="00000000"/>
    <w:rsid w:val="029E505D"/>
    <w:rsid w:val="07931C83"/>
    <w:rsid w:val="3C1E7862"/>
    <w:rsid w:val="3F477115"/>
    <w:rsid w:val="457A3A0A"/>
    <w:rsid w:val="498821FD"/>
    <w:rsid w:val="49C451C1"/>
    <w:rsid w:val="5473042C"/>
    <w:rsid w:val="5A776225"/>
    <w:rsid w:val="5AC35EFA"/>
    <w:rsid w:val="6AD539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Hyperlink"/>
    <w:basedOn w:val="6"/>
    <w:autoRedefine/>
    <w:qFormat/>
    <w:uiPriority w:val="0"/>
    <w:rPr>
      <w:color w:val="0000FF"/>
      <w:u w:val="single"/>
    </w:rPr>
  </w:style>
  <w:style w:type="table" w:customStyle="1" w:styleId="8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51</TotalTime>
  <ScaleCrop>false</ScaleCrop>
  <LinksUpToDate>false</LinksUpToDate>
  <Application>WPS Office_12.1.0.16388_F1E327BC-269C-435d-A152-05C5408002CA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2024-02-01T09:23:00Z</dcterms:created>
  <dc:creator>文印1</dc:creator>
  <cp:lastModifiedBy>小宁</cp:lastModifiedBy>
  <dcterms:modified xsi:type="dcterms:W3CDTF">2024-03-29T08:45:12Z</dcterms:modified>
  <dc:title>山东省教育厅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2024-03-27T08:10:02Z</vt:filetime>
  </property>
  <property fmtid="{D5CDD505-2E9C-101B-9397-08002B2CF9AE}" pid="4" name="KSOProductBuildVer">
    <vt:lpwstr>2052-12.1.0.16388</vt:lpwstr>
  </property>
  <property fmtid="{D5CDD505-2E9C-101B-9397-08002B2CF9AE}" pid="5" name="ICV">
    <vt:lpwstr>7ACE0E19C20C461C8AD1A14322BA5308_12</vt:lpwstr>
  </property>
</Properties>
</file>